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65C25" w14:textId="10DB95A7"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#111 electronic</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4147B3" w:rsidRPr="004147B3">
        <w:rPr>
          <w:rFonts w:eastAsia="SimSun" w:cs="Arial"/>
          <w:b/>
          <w:noProof/>
          <w:sz w:val="22"/>
          <w:szCs w:val="22"/>
        </w:rPr>
        <w:t>2007984</w:t>
      </w:r>
      <w:r w:rsidR="00DF7646" w:rsidRPr="00F13442">
        <w:rPr>
          <w:rFonts w:eastAsia="SimSun" w:cs="Arial"/>
          <w:b/>
          <w:noProof/>
          <w:sz w:val="22"/>
          <w:szCs w:val="22"/>
        </w:rPr>
        <w:tab/>
      </w:r>
    </w:p>
    <w:p w14:paraId="08B9D8C7" w14:textId="1557D1E4" w:rsidR="000E09A0" w:rsidRPr="00F13442" w:rsidRDefault="00085261" w:rsidP="002D2831">
      <w:pPr>
        <w:pStyle w:val="CRCoverPage"/>
        <w:tabs>
          <w:tab w:val="right" w:pos="9000"/>
        </w:tabs>
        <w:spacing w:after="0"/>
        <w:rPr>
          <w:rFonts w:eastAsia="SimSun" w:cs="Arial"/>
          <w:b/>
          <w:noProof/>
          <w:sz w:val="22"/>
          <w:szCs w:val="22"/>
          <w:lang w:eastAsia="zh-CN"/>
        </w:rPr>
      </w:pPr>
      <w:r w:rsidRPr="00085261">
        <w:rPr>
          <w:rFonts w:eastAsia="SimSun" w:cs="Arial"/>
          <w:b/>
          <w:noProof/>
          <w:sz w:val="22"/>
          <w:szCs w:val="22"/>
          <w:lang w:eastAsia="zh-CN"/>
        </w:rPr>
        <w:t>Online, August 17th - 28th, 2020</w:t>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249D0623"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D34EE3" w:rsidRPr="00D34EE3">
        <w:rPr>
          <w:rFonts w:ascii="Arial" w:eastAsia="Times New Roman" w:hAnsi="Arial" w:cs="Arial"/>
          <w:bCs/>
        </w:rPr>
        <w:t>RAN2 impacts of</w:t>
      </w:r>
      <w:r w:rsidR="00D34EE3">
        <w:rPr>
          <w:rFonts w:ascii="Arial" w:eastAsia="Times New Roman" w:hAnsi="Arial" w:cs="Arial"/>
          <w:b/>
        </w:rPr>
        <w:t xml:space="preserve"> </w:t>
      </w:r>
      <w:r w:rsidR="00D34EE3" w:rsidRPr="00D34EE3">
        <w:rPr>
          <w:rFonts w:ascii="Arial" w:eastAsia="SimSun" w:hAnsi="Arial" w:cs="Arial"/>
          <w:lang w:eastAsia="zh-CN"/>
        </w:rPr>
        <w:t>Rel.17 IAB topology adaptation enhancements</w:t>
      </w:r>
    </w:p>
    <w:p w14:paraId="16173DC2" w14:textId="3D02D3E8"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8.4.</w:t>
      </w:r>
      <w:r w:rsidR="00D34EE3">
        <w:rPr>
          <w:rFonts w:ascii="Arial" w:eastAsia="Times New Roman" w:hAnsi="Arial" w:cs="Arial"/>
        </w:rPr>
        <w:t>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985B81A" w14:textId="04E28D23" w:rsidR="00922C77" w:rsidRDefault="00922C77" w:rsidP="00922C77">
      <w:pPr>
        <w:pStyle w:val="B1"/>
        <w:spacing w:after="120"/>
        <w:ind w:left="0" w:firstLine="0"/>
      </w:pPr>
      <w:r>
        <w:t xml:space="preserve">In RAN#88e a new WID on </w:t>
      </w:r>
      <w:r w:rsidR="00D93B82">
        <w:t>IAB enhancements</w:t>
      </w:r>
      <w:r>
        <w:t xml:space="preserve"> was agreed [1]. The objectives of the WI were defined as follows:</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922C77" w14:paraId="3CB2084C" w14:textId="77777777" w:rsidTr="00652142">
        <w:trPr>
          <w:trHeight w:val="1761"/>
        </w:trPr>
        <w:tc>
          <w:tcPr>
            <w:tcW w:w="9495" w:type="dxa"/>
          </w:tcPr>
          <w:p w14:paraId="10F5841F" w14:textId="77777777" w:rsidR="00922C77" w:rsidRPr="00922C77" w:rsidRDefault="00922C77" w:rsidP="00922C77">
            <w:pPr>
              <w:pStyle w:val="NO"/>
              <w:ind w:hanging="415"/>
              <w:rPr>
                <w:rFonts w:eastAsia="Times New Roman"/>
              </w:rPr>
            </w:pPr>
            <w:r w:rsidRPr="00922C77">
              <w:rPr>
                <w:rFonts w:eastAsia="Times New Roman"/>
              </w:rPr>
              <w:t>Duplexing enhancements [RAN1-led, RAN2, RAN3, RAN4]:</w:t>
            </w:r>
          </w:p>
          <w:p w14:paraId="35DA628B"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Specification of enhancements to the resource multiplexing between child and parent links of an IAB node, including:</w:t>
            </w:r>
          </w:p>
          <w:p w14:paraId="16033AB3" w14:textId="77777777" w:rsidR="00922C77" w:rsidRPr="00922C77" w:rsidRDefault="00922C77" w:rsidP="00922C77">
            <w:pPr>
              <w:pStyle w:val="NO"/>
              <w:ind w:hanging="415"/>
              <w:rPr>
                <w:rFonts w:eastAsia="Times New Roman"/>
              </w:rPr>
            </w:pPr>
            <w:r w:rsidRPr="00922C77">
              <w:rPr>
                <w:rFonts w:eastAsia="Times New Roman"/>
              </w:rPr>
              <w:t>o</w:t>
            </w:r>
            <w:r w:rsidRPr="00922C77">
              <w:rPr>
                <w:rFonts w:eastAsia="Times New Roman"/>
              </w:rPr>
              <w:tab/>
              <w:t>Support of simultaneous operation (transmission and/or reception) of IAB-node’s child and parent links (i.e., MT Tx/DU Tx, MT Tx/DU Rx, MT Rx/DU Tx, MT Rx/DU Rx).</w:t>
            </w:r>
          </w:p>
          <w:p w14:paraId="14EFB474" w14:textId="77777777" w:rsidR="00922C77" w:rsidRPr="00922C77" w:rsidRDefault="00922C77" w:rsidP="00922C77">
            <w:pPr>
              <w:pStyle w:val="NO"/>
              <w:ind w:hanging="415"/>
              <w:rPr>
                <w:rFonts w:eastAsia="Times New Roman"/>
              </w:rPr>
            </w:pPr>
            <w:r w:rsidRPr="00922C77">
              <w:rPr>
                <w:rFonts w:eastAsia="Times New Roman"/>
              </w:rPr>
              <w:t>o</w:t>
            </w:r>
            <w:r w:rsidRPr="00922C77">
              <w:rPr>
                <w:rFonts w:eastAsia="Times New Roman"/>
              </w:rPr>
              <w:tab/>
              <w:t>Support for dual-connectivity scenarios defined by RAN2/RAN3 in the context of topology redundancy for improved robustness and load balancing.</w:t>
            </w:r>
          </w:p>
          <w:p w14:paraId="4AEA8E4C"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Specification of IAB-node timing mode(s), extensions for DL/UL power control, and CLI and interference measurements of BH links, as needed, to support simultaneous operation (transmission and/or reception) by IAB-node’s child and parent links.</w:t>
            </w:r>
          </w:p>
          <w:p w14:paraId="2361D061" w14:textId="77777777" w:rsidR="00922C77" w:rsidRPr="00922C77" w:rsidRDefault="00922C77" w:rsidP="00922C77">
            <w:pPr>
              <w:pStyle w:val="NO"/>
              <w:ind w:hanging="415"/>
              <w:rPr>
                <w:rFonts w:eastAsia="Times New Roman"/>
              </w:rPr>
            </w:pPr>
          </w:p>
          <w:p w14:paraId="7A83D9C0" w14:textId="77777777" w:rsidR="00922C77" w:rsidRPr="00D34EE3" w:rsidRDefault="00922C77" w:rsidP="00922C77">
            <w:pPr>
              <w:pStyle w:val="NO"/>
              <w:ind w:hanging="415"/>
              <w:rPr>
                <w:rFonts w:eastAsia="Times New Roman"/>
                <w:highlight w:val="yellow"/>
              </w:rPr>
            </w:pPr>
            <w:r w:rsidRPr="00D34EE3">
              <w:rPr>
                <w:rFonts w:eastAsia="Times New Roman"/>
                <w:highlight w:val="yellow"/>
              </w:rPr>
              <w:t>Topology adaptation enhancements [RAN3-led, RAN2]:</w:t>
            </w:r>
          </w:p>
          <w:p w14:paraId="2F4583A7" w14:textId="77777777" w:rsidR="00922C77" w:rsidRPr="00D34EE3" w:rsidRDefault="00922C77" w:rsidP="00922C77">
            <w:pPr>
              <w:pStyle w:val="NO"/>
              <w:ind w:hanging="415"/>
              <w:rPr>
                <w:rFonts w:eastAsia="Times New Roman"/>
                <w:highlight w:val="yellow"/>
              </w:rPr>
            </w:pPr>
            <w:r w:rsidRPr="00D34EE3">
              <w:rPr>
                <w:rFonts w:eastAsia="Times New Roman"/>
                <w:highlight w:val="yellow"/>
              </w:rPr>
              <w:t>•</w:t>
            </w:r>
            <w:r w:rsidRPr="00D34EE3">
              <w:rPr>
                <w:rFonts w:eastAsia="Times New Roman"/>
                <w:highlight w:val="yellow"/>
              </w:rPr>
              <w:tab/>
              <w:t xml:space="preserve">Specification of procedures for inter-donor IAB-node migration to enhance robustness and load-balancing, including enhancements to reduce signalling load.   </w:t>
            </w:r>
          </w:p>
          <w:p w14:paraId="18D85C89" w14:textId="77777777" w:rsidR="00922C77" w:rsidRPr="00D34EE3" w:rsidRDefault="00922C77" w:rsidP="00922C77">
            <w:pPr>
              <w:pStyle w:val="NO"/>
              <w:ind w:hanging="415"/>
              <w:rPr>
                <w:rFonts w:eastAsia="Times New Roman"/>
                <w:highlight w:val="yellow"/>
              </w:rPr>
            </w:pPr>
            <w:r w:rsidRPr="00D34EE3">
              <w:rPr>
                <w:rFonts w:eastAsia="Times New Roman"/>
                <w:highlight w:val="yellow"/>
              </w:rPr>
              <w:t>•</w:t>
            </w:r>
            <w:r w:rsidRPr="00D34EE3">
              <w:rPr>
                <w:rFonts w:eastAsia="Times New Roman"/>
                <w:highlight w:val="yellow"/>
              </w:rPr>
              <w:tab/>
              <w:t>Specification of enhancements to reduce service interruption due to IAB-node migration and BH RLF recovery.</w:t>
            </w:r>
          </w:p>
          <w:p w14:paraId="3F62B675" w14:textId="77777777" w:rsidR="00922C77" w:rsidRPr="00922C77" w:rsidRDefault="00922C77" w:rsidP="00922C77">
            <w:pPr>
              <w:pStyle w:val="NO"/>
              <w:ind w:hanging="415"/>
              <w:rPr>
                <w:rFonts w:eastAsia="Times New Roman"/>
              </w:rPr>
            </w:pPr>
            <w:r w:rsidRPr="00D34EE3">
              <w:rPr>
                <w:rFonts w:eastAsia="Times New Roman"/>
                <w:highlight w:val="yellow"/>
              </w:rPr>
              <w:t>•</w:t>
            </w:r>
            <w:r w:rsidRPr="00D34EE3">
              <w:rPr>
                <w:rFonts w:eastAsia="Times New Roman"/>
                <w:highlight w:val="yellow"/>
              </w:rPr>
              <w:tab/>
              <w:t>Specification of enhancements to topological redundancy, including support of CP/UP separation.</w:t>
            </w:r>
          </w:p>
          <w:p w14:paraId="48FE734E" w14:textId="77777777" w:rsidR="00922C77" w:rsidRPr="00922C77" w:rsidRDefault="00922C77" w:rsidP="00922C77">
            <w:pPr>
              <w:pStyle w:val="NO"/>
              <w:ind w:hanging="415"/>
              <w:rPr>
                <w:rFonts w:eastAsia="Times New Roman"/>
              </w:rPr>
            </w:pPr>
          </w:p>
          <w:p w14:paraId="649A5824" w14:textId="77777777" w:rsidR="00922C77" w:rsidRPr="00D34EE3" w:rsidRDefault="00922C77" w:rsidP="00922C77">
            <w:pPr>
              <w:pStyle w:val="NO"/>
              <w:ind w:hanging="415"/>
              <w:rPr>
                <w:rFonts w:eastAsia="Times New Roman"/>
              </w:rPr>
            </w:pPr>
            <w:r w:rsidRPr="00D34EE3">
              <w:rPr>
                <w:rFonts w:eastAsia="Times New Roman"/>
              </w:rPr>
              <w:t>Topology, routing and transport enhancements [RAN2-led, RAN3]:</w:t>
            </w:r>
          </w:p>
          <w:p w14:paraId="103450FF" w14:textId="77777777" w:rsidR="00922C77" w:rsidRPr="00922C77" w:rsidRDefault="00922C77" w:rsidP="00922C77">
            <w:pPr>
              <w:pStyle w:val="NO"/>
              <w:ind w:hanging="415"/>
              <w:rPr>
                <w:rFonts w:eastAsia="Times New Roman"/>
              </w:rPr>
            </w:pPr>
            <w:r w:rsidRPr="00D34EE3">
              <w:rPr>
                <w:rFonts w:eastAsia="Times New Roman"/>
              </w:rPr>
              <w:t>•</w:t>
            </w:r>
            <w:r w:rsidRPr="00D34EE3">
              <w:rPr>
                <w:rFonts w:eastAsia="Times New Roman"/>
              </w:rPr>
              <w:tab/>
              <w:t>Specifications of enhancements to improve topology-wide fairness, multi-hop latency and congestion mitigation</w:t>
            </w:r>
            <w:r w:rsidRPr="00922C77">
              <w:rPr>
                <w:rFonts w:eastAsia="Times New Roman"/>
              </w:rPr>
              <w:t xml:space="preserve"> </w:t>
            </w:r>
          </w:p>
          <w:p w14:paraId="4213FA0A" w14:textId="77777777" w:rsidR="00922C77" w:rsidRPr="00922C77" w:rsidRDefault="00922C77" w:rsidP="00922C77">
            <w:pPr>
              <w:pStyle w:val="NO"/>
              <w:ind w:hanging="415"/>
              <w:rPr>
                <w:rFonts w:eastAsia="Times New Roman"/>
              </w:rPr>
            </w:pPr>
          </w:p>
          <w:p w14:paraId="136C1C57" w14:textId="77777777" w:rsidR="00922C77" w:rsidRPr="00922C77" w:rsidRDefault="00922C77" w:rsidP="00922C77">
            <w:pPr>
              <w:pStyle w:val="NO"/>
              <w:ind w:hanging="415"/>
              <w:rPr>
                <w:rFonts w:eastAsia="Times New Roman"/>
              </w:rPr>
            </w:pPr>
            <w:r w:rsidRPr="00922C77">
              <w:rPr>
                <w:rFonts w:eastAsia="Times New Roman"/>
              </w:rPr>
              <w:t>RF and RRM requirements [RAN4-led]:</w:t>
            </w:r>
          </w:p>
          <w:p w14:paraId="3587ECC1"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Definition of IAB node RF requirements if needed for any Rel-17 extensions.</w:t>
            </w:r>
          </w:p>
          <w:p w14:paraId="4C964A6D" w14:textId="1FC45402" w:rsidR="00922C77" w:rsidRPr="007F788B" w:rsidRDefault="00922C77" w:rsidP="00922C77">
            <w:pPr>
              <w:pStyle w:val="NO"/>
              <w:ind w:hanging="415"/>
              <w:rPr>
                <w:rFonts w:eastAsia="Times New Roman"/>
              </w:rPr>
            </w:pPr>
            <w:r w:rsidRPr="00922C77">
              <w:rPr>
                <w:rFonts w:eastAsia="Times New Roman"/>
              </w:rPr>
              <w:t>•</w:t>
            </w:r>
            <w:r w:rsidRPr="00922C77">
              <w:rPr>
                <w:rFonts w:eastAsia="Times New Roman"/>
              </w:rPr>
              <w:tab/>
              <w:t>Definition of RRM core requirements if needed for any Rel-17 extensions</w:t>
            </w:r>
            <w:r>
              <w:rPr>
                <w:rFonts w:eastAsia="Times New Roman"/>
              </w:rPr>
              <w:t>.</w:t>
            </w:r>
          </w:p>
        </w:tc>
      </w:tr>
    </w:tbl>
    <w:p w14:paraId="14F51724" w14:textId="77777777" w:rsidR="00922C77" w:rsidRDefault="00922C77" w:rsidP="00922C77"/>
    <w:p w14:paraId="14456FB3" w14:textId="099F3342" w:rsidR="006A1BC4" w:rsidRDefault="00922C77" w:rsidP="00922C77">
      <w:pPr>
        <w:spacing w:beforeLines="50" w:before="120" w:after="0" w:line="300" w:lineRule="auto"/>
        <w:jc w:val="both"/>
        <w:rPr>
          <w:rFonts w:eastAsiaTheme="minorEastAsia"/>
          <w:sz w:val="20"/>
          <w:lang w:eastAsia="zh-CN"/>
        </w:rPr>
      </w:pPr>
      <w:r>
        <w:t xml:space="preserve">In this paper we </w:t>
      </w:r>
      <w:r w:rsidR="00197BFE">
        <w:t xml:space="preserve">very </w:t>
      </w:r>
      <w:r>
        <w:t xml:space="preserve">briefly discuss </w:t>
      </w:r>
      <w:r w:rsidR="00657A1E">
        <w:t xml:space="preserve">the network implications of topology adaptation </w:t>
      </w:r>
      <w:r w:rsidR="001018A3">
        <w:t>enhancements and</w:t>
      </w:r>
      <w:r w:rsidR="00657A1E">
        <w:t xml:space="preserve"> explore how these enhancement</w:t>
      </w:r>
      <w:r w:rsidR="00EC3F13">
        <w:t>s</w:t>
      </w:r>
      <w:r w:rsidR="00657A1E">
        <w:t xml:space="preserve"> might impact RAN</w:t>
      </w:r>
      <w:r w:rsidR="00AB092E">
        <w:t>2’s work</w:t>
      </w:r>
      <w:r>
        <w:t>.</w:t>
      </w:r>
    </w:p>
    <w:p w14:paraId="75831858" w14:textId="25359551" w:rsidR="004279E6" w:rsidRPr="004279E6" w:rsidRDefault="002167A3" w:rsidP="004279E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lastRenderedPageBreak/>
        <w:t>Discussion</w:t>
      </w:r>
      <w:bookmarkStart w:id="4" w:name="OLE_LINK16"/>
      <w:bookmarkStart w:id="5" w:name="OLE_LINK17"/>
    </w:p>
    <w:p w14:paraId="5A0B9080" w14:textId="71954797" w:rsidR="004B165D" w:rsidRDefault="004B165D" w:rsidP="009373EF">
      <w:pPr>
        <w:spacing w:after="120"/>
        <w:jc w:val="both"/>
        <w:rPr>
          <w:rFonts w:eastAsiaTheme="minorEastAsia"/>
          <w:sz w:val="20"/>
          <w:lang w:eastAsia="zh-CN"/>
        </w:rPr>
      </w:pPr>
      <w:r>
        <w:rPr>
          <w:rFonts w:eastAsiaTheme="minorEastAsia"/>
          <w:sz w:val="20"/>
          <w:lang w:eastAsia="zh-CN"/>
        </w:rPr>
        <w:t>In Rel. 16 it was agree</w:t>
      </w:r>
      <w:r w:rsidR="002D0D24">
        <w:rPr>
          <w:rFonts w:eastAsiaTheme="minorEastAsia"/>
          <w:sz w:val="20"/>
          <w:lang w:eastAsia="zh-CN"/>
        </w:rPr>
        <w:t>d</w:t>
      </w:r>
      <w:r>
        <w:rPr>
          <w:rFonts w:eastAsiaTheme="minorEastAsia"/>
          <w:sz w:val="20"/>
          <w:lang w:eastAsia="zh-CN"/>
        </w:rPr>
        <w:t xml:space="preserve"> that topology adaptation would focus on the intra-donor case, and no optimization was attempted to address the inter-donor case. Clearly inter-donor IAB node migration is more complicated from the perspective of the network, as it is equivalent to performing a handoff for the MT of the migrated IAB node, all of its descendant nodes, and all of the UEs served by the migrated IAB node or any of its descendants. The context of each of these IAB nodes and </w:t>
      </w:r>
      <w:r w:rsidR="00EC3F13">
        <w:rPr>
          <w:rFonts w:eastAsiaTheme="minorEastAsia"/>
          <w:sz w:val="20"/>
          <w:lang w:eastAsia="zh-CN"/>
        </w:rPr>
        <w:t xml:space="preserve">served </w:t>
      </w:r>
      <w:r>
        <w:rPr>
          <w:rFonts w:eastAsiaTheme="minorEastAsia"/>
          <w:sz w:val="20"/>
          <w:lang w:eastAsia="zh-CN"/>
        </w:rPr>
        <w:t>UEs needs to be transferred to the new IAB donor CU</w:t>
      </w:r>
      <w:r w:rsidR="00C32B33">
        <w:rPr>
          <w:rFonts w:eastAsiaTheme="minorEastAsia"/>
          <w:sz w:val="20"/>
          <w:lang w:eastAsia="zh-CN"/>
        </w:rPr>
        <w:t>,</w:t>
      </w:r>
      <w:r>
        <w:rPr>
          <w:rFonts w:eastAsiaTheme="minorEastAsia"/>
          <w:sz w:val="20"/>
          <w:lang w:eastAsia="zh-CN"/>
        </w:rPr>
        <w:t xml:space="preserve">  </w:t>
      </w:r>
      <w:r w:rsidR="00C32B33">
        <w:rPr>
          <w:rFonts w:eastAsiaTheme="minorEastAsia"/>
          <w:sz w:val="20"/>
          <w:lang w:eastAsia="zh-CN"/>
        </w:rPr>
        <w:t>F1 re-established to each of the migrated IAB nodes, and the user plane for all impacted UEs transferred to the new donor. As such there is considerable scope to optimize F1 and Xn procedures, and potentially even N2 interface procedures to support inter-donor topology adaptation.</w:t>
      </w:r>
    </w:p>
    <w:p w14:paraId="405A9834" w14:textId="16198BAF" w:rsidR="00C32B33" w:rsidRDefault="00C32B33" w:rsidP="009373EF">
      <w:pPr>
        <w:spacing w:after="120"/>
        <w:jc w:val="both"/>
        <w:rPr>
          <w:rFonts w:eastAsiaTheme="minorEastAsia"/>
          <w:sz w:val="20"/>
          <w:lang w:eastAsia="zh-CN"/>
        </w:rPr>
      </w:pPr>
      <w:r>
        <w:rPr>
          <w:b/>
          <w:sz w:val="20"/>
        </w:rPr>
        <w:t>Observation</w:t>
      </w:r>
      <w:r w:rsidRPr="00B95098">
        <w:rPr>
          <w:b/>
          <w:sz w:val="20"/>
        </w:rPr>
        <w:t xml:space="preserve"> 1: </w:t>
      </w:r>
      <w:r>
        <w:rPr>
          <w:b/>
          <w:sz w:val="20"/>
        </w:rPr>
        <w:t>T</w:t>
      </w:r>
      <w:r w:rsidRPr="00C32B33">
        <w:rPr>
          <w:b/>
          <w:sz w:val="20"/>
        </w:rPr>
        <w:t>here is considerable scope to optimize F1 and Xn procedures, and potentially even N2 interface procedures to support inter-donor topology adap</w:t>
      </w:r>
      <w:r>
        <w:rPr>
          <w:b/>
          <w:sz w:val="20"/>
        </w:rPr>
        <w:t>tation.</w:t>
      </w:r>
    </w:p>
    <w:p w14:paraId="297306B3" w14:textId="1D5DE101" w:rsidR="00C32B33" w:rsidRDefault="000E4A75" w:rsidP="009373EF">
      <w:pPr>
        <w:spacing w:after="120"/>
        <w:jc w:val="both"/>
        <w:rPr>
          <w:rFonts w:eastAsiaTheme="minorEastAsia"/>
          <w:sz w:val="20"/>
          <w:lang w:eastAsia="zh-CN"/>
        </w:rPr>
      </w:pPr>
      <w:r>
        <w:rPr>
          <w:rFonts w:eastAsiaTheme="minorEastAsia"/>
          <w:sz w:val="20"/>
          <w:lang w:eastAsia="zh-CN"/>
        </w:rPr>
        <w:t>The aforementioned procedures are within the scope of RAN3.</w:t>
      </w:r>
      <w:r w:rsidR="00A466B6">
        <w:rPr>
          <w:rFonts w:eastAsiaTheme="minorEastAsia"/>
          <w:sz w:val="20"/>
          <w:lang w:eastAsia="zh-CN"/>
        </w:rPr>
        <w:t xml:space="preserve"> However, as far as the UE is concerned, the cells are identified by their </w:t>
      </w:r>
      <w:r w:rsidR="00A466B6" w:rsidRPr="00A466B6">
        <w:rPr>
          <w:rFonts w:eastAsiaTheme="minorEastAsia"/>
          <w:i/>
          <w:iCs/>
          <w:sz w:val="20"/>
          <w:lang w:eastAsia="zh-CN"/>
        </w:rPr>
        <w:t>Cell Identity</w:t>
      </w:r>
      <w:r w:rsidR="00A466B6">
        <w:rPr>
          <w:rFonts w:eastAsiaTheme="minorEastAsia"/>
          <w:sz w:val="20"/>
          <w:lang w:eastAsia="zh-CN"/>
        </w:rPr>
        <w:t xml:space="preserve">. Furthermore, for Rel. 17 we will not consider mobile IAB, but rather </w:t>
      </w:r>
      <w:r w:rsidR="00EC3F13">
        <w:rPr>
          <w:rFonts w:eastAsiaTheme="minorEastAsia"/>
          <w:sz w:val="20"/>
          <w:lang w:eastAsia="zh-CN"/>
        </w:rPr>
        <w:t xml:space="preserve">assume </w:t>
      </w:r>
      <w:r w:rsidR="00A466B6">
        <w:rPr>
          <w:rFonts w:eastAsiaTheme="minorEastAsia"/>
          <w:sz w:val="20"/>
          <w:lang w:eastAsia="zh-CN"/>
        </w:rPr>
        <w:t xml:space="preserve">that IAB node migration does not involve the physical mobility of the node. As such, we do not anticipate that there will be a requirement to change the </w:t>
      </w:r>
      <w:r w:rsidR="00A466B6" w:rsidRPr="00A466B6">
        <w:rPr>
          <w:rFonts w:eastAsiaTheme="minorEastAsia"/>
          <w:i/>
          <w:iCs/>
          <w:sz w:val="20"/>
          <w:lang w:eastAsia="zh-CN"/>
        </w:rPr>
        <w:t>Cell Identity</w:t>
      </w:r>
      <w:r w:rsidR="00A466B6">
        <w:rPr>
          <w:rFonts w:eastAsiaTheme="minorEastAsia"/>
          <w:sz w:val="20"/>
          <w:lang w:eastAsia="zh-CN"/>
        </w:rPr>
        <w:t xml:space="preserve"> of any cell belonging to a</w:t>
      </w:r>
      <w:r w:rsidR="00EC3F13">
        <w:rPr>
          <w:rFonts w:eastAsiaTheme="minorEastAsia"/>
          <w:sz w:val="20"/>
          <w:lang w:eastAsia="zh-CN"/>
        </w:rPr>
        <w:t xml:space="preserve"> migrated</w:t>
      </w:r>
      <w:r w:rsidR="00A466B6">
        <w:rPr>
          <w:rFonts w:eastAsiaTheme="minorEastAsia"/>
          <w:sz w:val="20"/>
          <w:lang w:eastAsia="zh-CN"/>
        </w:rPr>
        <w:t xml:space="preserve"> IAB node, even with inter-donor topology adaptation. </w:t>
      </w:r>
      <w:r w:rsidR="0098050C">
        <w:rPr>
          <w:rFonts w:eastAsiaTheme="minorEastAsia"/>
          <w:sz w:val="20"/>
          <w:lang w:eastAsia="zh-CN"/>
        </w:rPr>
        <w:t>It seems that</w:t>
      </w:r>
      <w:r w:rsidR="00A466B6">
        <w:rPr>
          <w:rFonts w:eastAsiaTheme="minorEastAsia"/>
          <w:sz w:val="20"/>
          <w:lang w:eastAsia="zh-CN"/>
        </w:rPr>
        <w:t xml:space="preserve"> </w:t>
      </w:r>
      <w:r w:rsidR="0098050C">
        <w:rPr>
          <w:rFonts w:eastAsiaTheme="minorEastAsia"/>
          <w:sz w:val="20"/>
          <w:lang w:eastAsia="zh-CN"/>
        </w:rPr>
        <w:t xml:space="preserve">inter-donor topology adaptation may </w:t>
      </w:r>
      <w:r w:rsidR="00EC3F13">
        <w:rPr>
          <w:rFonts w:eastAsiaTheme="minorEastAsia"/>
          <w:sz w:val="20"/>
          <w:lang w:eastAsia="zh-CN"/>
        </w:rPr>
        <w:t xml:space="preserve">be </w:t>
      </w:r>
      <w:r w:rsidR="0098050C">
        <w:rPr>
          <w:rFonts w:eastAsiaTheme="minorEastAsia"/>
          <w:sz w:val="20"/>
          <w:lang w:eastAsia="zh-CN"/>
        </w:rPr>
        <w:t xml:space="preserve">completely transparent as far as the UEs served by a migrated IAB node are concerned. The same may also </w:t>
      </w:r>
      <w:r w:rsidR="00EC3F13">
        <w:rPr>
          <w:rFonts w:eastAsiaTheme="minorEastAsia"/>
          <w:sz w:val="20"/>
          <w:lang w:eastAsia="zh-CN"/>
        </w:rPr>
        <w:t xml:space="preserve">largely </w:t>
      </w:r>
      <w:r w:rsidR="0098050C">
        <w:rPr>
          <w:rFonts w:eastAsiaTheme="minorEastAsia"/>
          <w:sz w:val="20"/>
          <w:lang w:eastAsia="zh-CN"/>
        </w:rPr>
        <w:t xml:space="preserve">be true of an IAB node MT, and hence inter-donor node migration </w:t>
      </w:r>
      <w:r w:rsidR="00EC3F13">
        <w:rPr>
          <w:rFonts w:eastAsiaTheme="minorEastAsia"/>
          <w:sz w:val="20"/>
          <w:lang w:eastAsia="zh-CN"/>
        </w:rPr>
        <w:t>is</w:t>
      </w:r>
      <w:r w:rsidR="0098050C">
        <w:rPr>
          <w:rFonts w:eastAsiaTheme="minorEastAsia"/>
          <w:sz w:val="20"/>
          <w:lang w:eastAsia="zh-CN"/>
        </w:rPr>
        <w:t xml:space="preserve"> not </w:t>
      </w:r>
      <w:r w:rsidR="00EC3F13">
        <w:rPr>
          <w:rFonts w:eastAsiaTheme="minorEastAsia"/>
          <w:sz w:val="20"/>
          <w:lang w:eastAsia="zh-CN"/>
        </w:rPr>
        <w:t xml:space="preserve">expected to </w:t>
      </w:r>
      <w:r w:rsidR="0098050C">
        <w:rPr>
          <w:rFonts w:eastAsiaTheme="minorEastAsia"/>
          <w:sz w:val="20"/>
          <w:lang w:eastAsia="zh-CN"/>
        </w:rPr>
        <w:t xml:space="preserve">have any impact to RRC.  Therefore, we propose to wait for RAN3 to progress their work </w:t>
      </w:r>
      <w:r w:rsidR="00865CD3">
        <w:rPr>
          <w:rFonts w:eastAsiaTheme="minorEastAsia"/>
          <w:sz w:val="20"/>
          <w:lang w:eastAsia="zh-CN"/>
        </w:rPr>
        <w:t>o</w:t>
      </w:r>
      <w:r w:rsidR="0098050C">
        <w:rPr>
          <w:rFonts w:eastAsiaTheme="minorEastAsia"/>
          <w:sz w:val="20"/>
          <w:lang w:eastAsia="zh-CN"/>
        </w:rPr>
        <w:t>n inter-donor topology adaptation before considering any enhancements related to RAN2 procedures.</w:t>
      </w:r>
    </w:p>
    <w:p w14:paraId="1905FC99" w14:textId="0312C5F4" w:rsidR="0098050C" w:rsidRDefault="0098050C" w:rsidP="009373EF">
      <w:pPr>
        <w:spacing w:after="120"/>
        <w:jc w:val="both"/>
        <w:rPr>
          <w:rFonts w:eastAsiaTheme="minorEastAsia"/>
          <w:sz w:val="20"/>
          <w:lang w:eastAsia="zh-CN"/>
        </w:rPr>
      </w:pPr>
      <w:r>
        <w:rPr>
          <w:b/>
          <w:sz w:val="20"/>
        </w:rPr>
        <w:t>Proposal 1:</w:t>
      </w:r>
      <w:r w:rsidR="00865CD3">
        <w:rPr>
          <w:b/>
          <w:sz w:val="20"/>
        </w:rPr>
        <w:t xml:space="preserve"> RAN2 should wait for RAN3 to progress </w:t>
      </w:r>
      <w:r w:rsidR="00865CD3" w:rsidRPr="00865CD3">
        <w:rPr>
          <w:b/>
          <w:sz w:val="20"/>
        </w:rPr>
        <w:t>their work on inter-donor topology adaptation before considering any enhancements related to RAN2 procedures</w:t>
      </w:r>
      <w:r w:rsidR="00D2550B">
        <w:rPr>
          <w:b/>
          <w:sz w:val="20"/>
        </w:rPr>
        <w:t>.</w:t>
      </w:r>
    </w:p>
    <w:p w14:paraId="67A9413A" w14:textId="558AE604" w:rsidR="004B165D" w:rsidRDefault="00E60686" w:rsidP="009373EF">
      <w:pPr>
        <w:spacing w:after="120"/>
        <w:jc w:val="both"/>
        <w:rPr>
          <w:rFonts w:eastAsiaTheme="minorEastAsia"/>
          <w:sz w:val="20"/>
          <w:lang w:eastAsia="zh-CN"/>
        </w:rPr>
      </w:pPr>
      <w:r>
        <w:rPr>
          <w:rFonts w:eastAsiaTheme="minorEastAsia"/>
          <w:sz w:val="20"/>
          <w:lang w:eastAsia="zh-CN"/>
        </w:rPr>
        <w:t>Towards the end of the Rel. 16 WI, very significant effort was expended in both RAN3 and RAN2 regarding IAB node IP address allocation and management. Eventually several not</w:t>
      </w:r>
      <w:r w:rsidR="00EC3F13">
        <w:rPr>
          <w:rFonts w:eastAsiaTheme="minorEastAsia"/>
          <w:sz w:val="20"/>
          <w:lang w:eastAsia="zh-CN"/>
        </w:rPr>
        <w:t>-so-</w:t>
      </w:r>
      <w:r>
        <w:rPr>
          <w:rFonts w:eastAsiaTheme="minorEastAsia"/>
          <w:sz w:val="20"/>
          <w:lang w:eastAsia="zh-CN"/>
        </w:rPr>
        <w:t xml:space="preserve">elegant workarounds were adopted to address </w:t>
      </w:r>
      <w:r w:rsidR="00EC3F13">
        <w:rPr>
          <w:rFonts w:eastAsiaTheme="minorEastAsia"/>
          <w:sz w:val="20"/>
          <w:lang w:eastAsia="zh-CN"/>
        </w:rPr>
        <w:t>IAB node IP management</w:t>
      </w:r>
      <w:r>
        <w:rPr>
          <w:rFonts w:eastAsiaTheme="minorEastAsia"/>
          <w:sz w:val="20"/>
          <w:lang w:eastAsia="zh-CN"/>
        </w:rPr>
        <w:t xml:space="preserve">. Even with this, it seems that not all potential issues related to using IP as part of the F1 transport over backhaul could be addressed in Rel. 16 satisfactorily. During the IAB SI phase it was pointed out that the IP layer was not in fact providing any real functionality for the backhaul, as the main functionality of IP which is routing, is performed by the BAP. Other </w:t>
      </w:r>
      <w:r w:rsidR="00EC3F13">
        <w:rPr>
          <w:rFonts w:eastAsiaTheme="minorEastAsia"/>
          <w:sz w:val="20"/>
          <w:lang w:eastAsia="zh-CN"/>
        </w:rPr>
        <w:t xml:space="preserve">related </w:t>
      </w:r>
      <w:r>
        <w:rPr>
          <w:rFonts w:eastAsiaTheme="minorEastAsia"/>
          <w:sz w:val="20"/>
          <w:lang w:eastAsia="zh-CN"/>
        </w:rPr>
        <w:t>functionality such as security (via IPSec) could easily be addressed by using 3GPP standardized layers in the backhaul protocol stack. Th</w:t>
      </w:r>
      <w:r w:rsidR="00EC3F13">
        <w:rPr>
          <w:rFonts w:eastAsiaTheme="minorEastAsia"/>
          <w:sz w:val="20"/>
          <w:lang w:eastAsia="zh-CN"/>
        </w:rPr>
        <w:t>e latter</w:t>
      </w:r>
      <w:r>
        <w:rPr>
          <w:rFonts w:eastAsiaTheme="minorEastAsia"/>
          <w:sz w:val="20"/>
          <w:lang w:eastAsia="zh-CN"/>
        </w:rPr>
        <w:t xml:space="preserve"> approach would be much more flexible, as these protocols are completely within the control for 3GPP WG, and any required enhancements could be implemented, without resorting to any complex workarounds in order to overcome shortcomings of non-3GPP protocols.</w:t>
      </w:r>
    </w:p>
    <w:p w14:paraId="12C9599D" w14:textId="745F5DD2" w:rsidR="00E60686" w:rsidRDefault="00197BFE" w:rsidP="009373EF">
      <w:pPr>
        <w:spacing w:after="120"/>
        <w:jc w:val="both"/>
        <w:rPr>
          <w:rFonts w:eastAsiaTheme="minorEastAsia"/>
          <w:sz w:val="20"/>
          <w:lang w:eastAsia="zh-CN"/>
        </w:rPr>
      </w:pPr>
      <w:r>
        <w:rPr>
          <w:rFonts w:eastAsiaTheme="minorEastAsia"/>
          <w:sz w:val="20"/>
          <w:lang w:eastAsia="zh-CN"/>
        </w:rPr>
        <w:t xml:space="preserve">Although </w:t>
      </w:r>
      <w:r w:rsidR="00EC3F13">
        <w:rPr>
          <w:rFonts w:eastAsiaTheme="minorEastAsia"/>
          <w:sz w:val="20"/>
          <w:lang w:eastAsia="zh-CN"/>
        </w:rPr>
        <w:t xml:space="preserve">as mentioned above, </w:t>
      </w:r>
      <w:r>
        <w:rPr>
          <w:rFonts w:eastAsiaTheme="minorEastAsia"/>
          <w:sz w:val="20"/>
          <w:lang w:eastAsia="zh-CN"/>
        </w:rPr>
        <w:t xml:space="preserve">IAB node mobility is not within the scope of Rel. 17, we can anticipate that such functionality is likely to be addressed in a future release (e.g. Rel. 18). It should be painfully clear from the experience of Rel. 16 that the workaround solutions adopted for IAB node IP management will not scale for IAB mobility. Therefore, we propose that RAN2 take the opportunity of Rel. 17 to define solutions for the IAB backhaul protocol stack which do not include </w:t>
      </w:r>
      <w:r w:rsidR="0048196E">
        <w:rPr>
          <w:rFonts w:eastAsiaTheme="minorEastAsia"/>
          <w:sz w:val="20"/>
          <w:lang w:eastAsia="zh-CN"/>
        </w:rPr>
        <w:t>an</w:t>
      </w:r>
      <w:r>
        <w:rPr>
          <w:rFonts w:eastAsiaTheme="minorEastAsia"/>
          <w:sz w:val="20"/>
          <w:lang w:eastAsia="zh-CN"/>
        </w:rPr>
        <w:t xml:space="preserve"> IP layer. Any progress we can achieve towards th</w:t>
      </w:r>
      <w:r w:rsidR="00EC3F13">
        <w:rPr>
          <w:rFonts w:eastAsiaTheme="minorEastAsia"/>
          <w:sz w:val="20"/>
          <w:lang w:eastAsia="zh-CN"/>
        </w:rPr>
        <w:t>is</w:t>
      </w:r>
      <w:r>
        <w:rPr>
          <w:rFonts w:eastAsiaTheme="minorEastAsia"/>
          <w:sz w:val="20"/>
          <w:lang w:eastAsia="zh-CN"/>
        </w:rPr>
        <w:t xml:space="preserve"> objective in Rel. 17 will not only simplify IAB node migration and topology adaptation procedures</w:t>
      </w:r>
      <w:r w:rsidR="00EC3F13">
        <w:rPr>
          <w:rFonts w:eastAsiaTheme="minorEastAsia"/>
          <w:sz w:val="20"/>
          <w:lang w:eastAsia="zh-CN"/>
        </w:rPr>
        <w:t>,</w:t>
      </w:r>
      <w:r>
        <w:rPr>
          <w:rFonts w:eastAsiaTheme="minorEastAsia"/>
          <w:sz w:val="20"/>
          <w:lang w:eastAsia="zh-CN"/>
        </w:rPr>
        <w:t xml:space="preserve"> but will </w:t>
      </w:r>
      <w:r w:rsidR="00EC3F13">
        <w:rPr>
          <w:rFonts w:eastAsiaTheme="minorEastAsia"/>
          <w:sz w:val="20"/>
          <w:lang w:eastAsia="zh-CN"/>
        </w:rPr>
        <w:t xml:space="preserve">surely </w:t>
      </w:r>
      <w:r>
        <w:rPr>
          <w:rFonts w:eastAsiaTheme="minorEastAsia"/>
          <w:sz w:val="20"/>
          <w:lang w:eastAsia="zh-CN"/>
        </w:rPr>
        <w:t>pay dividends in future releases. The protocol stack options studied in the IAB SI phase [2] can serve as a starting point for this work.</w:t>
      </w:r>
    </w:p>
    <w:p w14:paraId="238AF085" w14:textId="78AE1EEF" w:rsidR="001F07BB" w:rsidRDefault="001F07BB" w:rsidP="009373EF">
      <w:pPr>
        <w:spacing w:after="120"/>
        <w:jc w:val="both"/>
        <w:rPr>
          <w:rFonts w:eastAsiaTheme="minorEastAsia"/>
          <w:sz w:val="20"/>
          <w:lang w:eastAsia="zh-CN"/>
        </w:rPr>
      </w:pPr>
      <w:r>
        <w:rPr>
          <w:b/>
          <w:sz w:val="20"/>
        </w:rPr>
        <w:t>Observation</w:t>
      </w:r>
      <w:r w:rsidRPr="00B95098">
        <w:rPr>
          <w:b/>
          <w:sz w:val="20"/>
        </w:rPr>
        <w:t xml:space="preserve"> </w:t>
      </w:r>
      <w:r>
        <w:rPr>
          <w:b/>
          <w:sz w:val="20"/>
        </w:rPr>
        <w:t>2</w:t>
      </w:r>
      <w:r w:rsidRPr="00B95098">
        <w:rPr>
          <w:b/>
          <w:sz w:val="20"/>
        </w:rPr>
        <w:t>:</w:t>
      </w:r>
      <w:r>
        <w:rPr>
          <w:b/>
          <w:sz w:val="20"/>
        </w:rPr>
        <w:t xml:space="preserve"> </w:t>
      </w:r>
      <w:r w:rsidRPr="0048196E">
        <w:rPr>
          <w:b/>
          <w:sz w:val="20"/>
        </w:rPr>
        <w:t>IAB node migration and topology adaptation procedures</w:t>
      </w:r>
      <w:r>
        <w:rPr>
          <w:b/>
          <w:sz w:val="20"/>
        </w:rPr>
        <w:t xml:space="preserve"> would be considerably simplified if an </w:t>
      </w:r>
      <w:r w:rsidRPr="00197BFE">
        <w:rPr>
          <w:b/>
          <w:sz w:val="20"/>
        </w:rPr>
        <w:t xml:space="preserve">IAB </w:t>
      </w:r>
      <w:r>
        <w:rPr>
          <w:b/>
          <w:sz w:val="20"/>
        </w:rPr>
        <w:t xml:space="preserve">backhaul </w:t>
      </w:r>
      <w:r w:rsidRPr="00197BFE">
        <w:rPr>
          <w:b/>
          <w:sz w:val="20"/>
        </w:rPr>
        <w:t>protocol stack which do</w:t>
      </w:r>
      <w:r>
        <w:rPr>
          <w:b/>
          <w:sz w:val="20"/>
        </w:rPr>
        <w:t>es</w:t>
      </w:r>
      <w:r w:rsidRPr="00197BFE">
        <w:rPr>
          <w:b/>
          <w:sz w:val="20"/>
        </w:rPr>
        <w:t xml:space="preserve"> not include </w:t>
      </w:r>
      <w:r>
        <w:rPr>
          <w:b/>
          <w:sz w:val="20"/>
        </w:rPr>
        <w:t>an</w:t>
      </w:r>
      <w:r w:rsidRPr="00197BFE">
        <w:rPr>
          <w:b/>
          <w:sz w:val="20"/>
        </w:rPr>
        <w:t xml:space="preserve"> IP layer</w:t>
      </w:r>
      <w:r>
        <w:rPr>
          <w:b/>
          <w:sz w:val="20"/>
        </w:rPr>
        <w:t xml:space="preserve"> was standardized, in addition to the Rel. 16 protocol stack.</w:t>
      </w:r>
    </w:p>
    <w:p w14:paraId="7EC42BC4" w14:textId="66DA4669" w:rsidR="004B165D" w:rsidRDefault="00197BFE" w:rsidP="009373EF">
      <w:pPr>
        <w:spacing w:after="120"/>
        <w:jc w:val="both"/>
        <w:rPr>
          <w:rFonts w:eastAsiaTheme="minorEastAsia"/>
          <w:sz w:val="20"/>
          <w:lang w:eastAsia="zh-CN"/>
        </w:rPr>
      </w:pPr>
      <w:r>
        <w:rPr>
          <w:b/>
          <w:sz w:val="20"/>
        </w:rPr>
        <w:t xml:space="preserve">Proposal 2: </w:t>
      </w:r>
      <w:r w:rsidRPr="00197BFE">
        <w:rPr>
          <w:b/>
          <w:sz w:val="20"/>
        </w:rPr>
        <w:t xml:space="preserve">RAN2 </w:t>
      </w:r>
      <w:r>
        <w:rPr>
          <w:b/>
          <w:sz w:val="20"/>
        </w:rPr>
        <w:t xml:space="preserve">should </w:t>
      </w:r>
      <w:r w:rsidRPr="00197BFE">
        <w:rPr>
          <w:b/>
          <w:sz w:val="20"/>
        </w:rPr>
        <w:t xml:space="preserve">define </w:t>
      </w:r>
      <w:r w:rsidR="001F07BB">
        <w:rPr>
          <w:b/>
          <w:sz w:val="20"/>
        </w:rPr>
        <w:t xml:space="preserve">a new option </w:t>
      </w:r>
      <w:r w:rsidRPr="00197BFE">
        <w:rPr>
          <w:b/>
          <w:sz w:val="20"/>
        </w:rPr>
        <w:t xml:space="preserve">for the IAB </w:t>
      </w:r>
      <w:r>
        <w:rPr>
          <w:b/>
          <w:sz w:val="20"/>
        </w:rPr>
        <w:t xml:space="preserve">backhaul </w:t>
      </w:r>
      <w:r w:rsidRPr="00197BFE">
        <w:rPr>
          <w:b/>
          <w:sz w:val="20"/>
        </w:rPr>
        <w:t>protocol stack which do</w:t>
      </w:r>
      <w:r w:rsidR="001F07BB">
        <w:rPr>
          <w:b/>
          <w:sz w:val="20"/>
        </w:rPr>
        <w:t>es</w:t>
      </w:r>
      <w:r w:rsidRPr="00197BFE">
        <w:rPr>
          <w:b/>
          <w:sz w:val="20"/>
        </w:rPr>
        <w:t xml:space="preserve"> not include </w:t>
      </w:r>
      <w:r w:rsidR="0048196E">
        <w:rPr>
          <w:b/>
          <w:sz w:val="20"/>
        </w:rPr>
        <w:t>an</w:t>
      </w:r>
      <w:r w:rsidRPr="00197BFE">
        <w:rPr>
          <w:b/>
          <w:sz w:val="20"/>
        </w:rPr>
        <w:t xml:space="preserve"> IP layer</w:t>
      </w:r>
      <w:r w:rsidR="0048196E">
        <w:rPr>
          <w:b/>
          <w:sz w:val="20"/>
        </w:rPr>
        <w:t>.</w:t>
      </w:r>
      <w:r>
        <w:rPr>
          <w:b/>
          <w:sz w:val="20"/>
        </w:rPr>
        <w:t xml:space="preserve"> </w:t>
      </w:r>
      <w:r w:rsidR="0048196E" w:rsidRPr="0048196E">
        <w:rPr>
          <w:b/>
          <w:sz w:val="20"/>
        </w:rPr>
        <w:t>The protocol stack options studied in the IAB SI phase can serve as a starting point for this work</w:t>
      </w:r>
      <w:r w:rsidR="001F07BB">
        <w:rPr>
          <w:b/>
          <w:sz w:val="20"/>
        </w:rPr>
        <w:t>.</w:t>
      </w: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77425664" w:rsidR="003470BF" w:rsidRDefault="00657A93" w:rsidP="00B702A1">
      <w:pPr>
        <w:jc w:val="both"/>
        <w:rPr>
          <w:rFonts w:eastAsia="SimSun"/>
          <w:sz w:val="20"/>
          <w:lang w:eastAsia="zh-CN"/>
        </w:rPr>
      </w:pPr>
      <w:r w:rsidRPr="00F13442">
        <w:rPr>
          <w:rFonts w:eastAsia="SimSun"/>
          <w:kern w:val="2"/>
          <w:sz w:val="20"/>
          <w:lang w:eastAsia="zh-CN"/>
        </w:rPr>
        <w:t xml:space="preserve">This </w:t>
      </w:r>
      <w:r w:rsidR="009934AF" w:rsidRPr="00F13442">
        <w:rPr>
          <w:rFonts w:eastAsia="SimSun"/>
          <w:kern w:val="2"/>
          <w:sz w:val="20"/>
          <w:lang w:eastAsia="zh-CN"/>
        </w:rPr>
        <w:t xml:space="preserve">paper </w:t>
      </w:r>
      <w:r w:rsidR="00EC3F13" w:rsidRPr="00EC3F13">
        <w:t>briefly discuss</w:t>
      </w:r>
      <w:r w:rsidR="00EC3F13">
        <w:t>ed</w:t>
      </w:r>
      <w:r w:rsidR="00EC3F13" w:rsidRPr="00EC3F13">
        <w:t xml:space="preserve"> the network implications of topology adaptation enhancements and explore</w:t>
      </w:r>
      <w:r w:rsidR="00EC3F13">
        <w:t>d</w:t>
      </w:r>
      <w:r w:rsidR="00EC3F13" w:rsidRPr="00EC3F13">
        <w:t xml:space="preserve"> how these enhancements might impact RAN2’s work</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observation</w:t>
      </w:r>
      <w:r w:rsidR="00D2550B">
        <w:rPr>
          <w:rFonts w:eastAsia="SimSun"/>
          <w:sz w:val="20"/>
          <w:lang w:eastAsia="zh-CN"/>
        </w:rPr>
        <w:t>s</w:t>
      </w:r>
      <w:r w:rsidR="00057922">
        <w:rPr>
          <w:rFonts w:eastAsia="SimSun"/>
          <w:sz w:val="20"/>
          <w:lang w:eastAsia="zh-CN"/>
        </w:rPr>
        <w:t xml:space="preserve"> and </w:t>
      </w:r>
      <w:r w:rsidR="00561404">
        <w:rPr>
          <w:rFonts w:eastAsia="SimSun"/>
          <w:sz w:val="20"/>
          <w:lang w:eastAsia="zh-CN"/>
        </w:rPr>
        <w:t>proposals</w:t>
      </w:r>
      <w:r w:rsidR="00B702A1">
        <w:rPr>
          <w:rFonts w:eastAsia="SimSun"/>
          <w:sz w:val="20"/>
          <w:lang w:eastAsia="zh-CN"/>
        </w:rPr>
        <w:t>:</w:t>
      </w:r>
    </w:p>
    <w:p w14:paraId="4D80212C" w14:textId="6857BF86" w:rsidR="00D2550B" w:rsidRDefault="00D2550B" w:rsidP="00D2550B">
      <w:pPr>
        <w:spacing w:after="120"/>
        <w:jc w:val="both"/>
        <w:rPr>
          <w:b/>
          <w:sz w:val="20"/>
        </w:rPr>
      </w:pPr>
      <w:r>
        <w:rPr>
          <w:b/>
          <w:sz w:val="20"/>
        </w:rPr>
        <w:t>Observation</w:t>
      </w:r>
      <w:r w:rsidRPr="00B95098">
        <w:rPr>
          <w:b/>
          <w:sz w:val="20"/>
        </w:rPr>
        <w:t xml:space="preserve"> 1: </w:t>
      </w:r>
      <w:r>
        <w:rPr>
          <w:b/>
          <w:sz w:val="20"/>
        </w:rPr>
        <w:t>T</w:t>
      </w:r>
      <w:r w:rsidRPr="00C32B33">
        <w:rPr>
          <w:b/>
          <w:sz w:val="20"/>
        </w:rPr>
        <w:t>here is considerable scope to optimize F1 and Xn procedures, and potentially even N2 interface procedures to support inter-donor topology adap</w:t>
      </w:r>
      <w:r>
        <w:rPr>
          <w:b/>
          <w:sz w:val="20"/>
        </w:rPr>
        <w:t>tation.</w:t>
      </w:r>
    </w:p>
    <w:p w14:paraId="53E1051C" w14:textId="754AB149" w:rsidR="00D2550B" w:rsidRDefault="00D2550B" w:rsidP="00D2550B">
      <w:pPr>
        <w:spacing w:after="120"/>
        <w:jc w:val="both"/>
        <w:rPr>
          <w:b/>
          <w:sz w:val="20"/>
        </w:rPr>
      </w:pPr>
      <w:r>
        <w:rPr>
          <w:b/>
          <w:sz w:val="20"/>
        </w:rPr>
        <w:t>Observation</w:t>
      </w:r>
      <w:r w:rsidRPr="00B95098">
        <w:rPr>
          <w:b/>
          <w:sz w:val="20"/>
        </w:rPr>
        <w:t xml:space="preserve"> </w:t>
      </w:r>
      <w:r>
        <w:rPr>
          <w:b/>
          <w:sz w:val="20"/>
        </w:rPr>
        <w:t>2</w:t>
      </w:r>
      <w:r w:rsidRPr="00B95098">
        <w:rPr>
          <w:b/>
          <w:sz w:val="20"/>
        </w:rPr>
        <w:t>:</w:t>
      </w:r>
      <w:r>
        <w:rPr>
          <w:b/>
          <w:sz w:val="20"/>
        </w:rPr>
        <w:t xml:space="preserve"> </w:t>
      </w:r>
      <w:r w:rsidRPr="0048196E">
        <w:rPr>
          <w:b/>
          <w:sz w:val="20"/>
        </w:rPr>
        <w:t>IAB node migration and topology adaptation procedures</w:t>
      </w:r>
      <w:r>
        <w:rPr>
          <w:b/>
          <w:sz w:val="20"/>
        </w:rPr>
        <w:t xml:space="preserve"> would be considerably simplified if an </w:t>
      </w:r>
      <w:r w:rsidRPr="00197BFE">
        <w:rPr>
          <w:b/>
          <w:sz w:val="20"/>
        </w:rPr>
        <w:t xml:space="preserve">IAB </w:t>
      </w:r>
      <w:r>
        <w:rPr>
          <w:b/>
          <w:sz w:val="20"/>
        </w:rPr>
        <w:t xml:space="preserve">backhaul </w:t>
      </w:r>
      <w:r w:rsidRPr="00197BFE">
        <w:rPr>
          <w:b/>
          <w:sz w:val="20"/>
        </w:rPr>
        <w:t>protocol stack which do</w:t>
      </w:r>
      <w:r>
        <w:rPr>
          <w:b/>
          <w:sz w:val="20"/>
        </w:rPr>
        <w:t>es</w:t>
      </w:r>
      <w:r w:rsidRPr="00197BFE">
        <w:rPr>
          <w:b/>
          <w:sz w:val="20"/>
        </w:rPr>
        <w:t xml:space="preserve"> not include </w:t>
      </w:r>
      <w:r>
        <w:rPr>
          <w:b/>
          <w:sz w:val="20"/>
        </w:rPr>
        <w:t>an</w:t>
      </w:r>
      <w:r w:rsidRPr="00197BFE">
        <w:rPr>
          <w:b/>
          <w:sz w:val="20"/>
        </w:rPr>
        <w:t xml:space="preserve"> IP layer</w:t>
      </w:r>
      <w:r>
        <w:rPr>
          <w:b/>
          <w:sz w:val="20"/>
        </w:rPr>
        <w:t xml:space="preserve"> was standardized, in addition to the Rel. 16 protocol stack.</w:t>
      </w:r>
    </w:p>
    <w:p w14:paraId="29DB3341" w14:textId="77777777" w:rsidR="00D2550B" w:rsidRDefault="00D2550B" w:rsidP="00D2550B">
      <w:pPr>
        <w:spacing w:after="120"/>
        <w:jc w:val="both"/>
        <w:rPr>
          <w:rFonts w:eastAsiaTheme="minorEastAsia"/>
          <w:sz w:val="20"/>
          <w:lang w:eastAsia="zh-CN"/>
        </w:rPr>
      </w:pPr>
    </w:p>
    <w:p w14:paraId="4A75AA0E" w14:textId="506FC8BD" w:rsidR="00D2550B" w:rsidRDefault="00D2550B" w:rsidP="00BA28A8">
      <w:pPr>
        <w:spacing w:after="120"/>
        <w:jc w:val="both"/>
        <w:rPr>
          <w:b/>
          <w:sz w:val="20"/>
        </w:rPr>
      </w:pPr>
      <w:r>
        <w:rPr>
          <w:b/>
          <w:sz w:val="20"/>
        </w:rPr>
        <w:t xml:space="preserve">Proposal 1: RAN2 should wait for RAN3 to progress </w:t>
      </w:r>
      <w:r w:rsidRPr="00865CD3">
        <w:rPr>
          <w:b/>
          <w:sz w:val="20"/>
        </w:rPr>
        <w:t>their work on inter-donor topology adaptation before considering any enhancements related to RAN2 procedures</w:t>
      </w:r>
      <w:r>
        <w:rPr>
          <w:b/>
          <w:sz w:val="20"/>
        </w:rPr>
        <w:t>.</w:t>
      </w:r>
    </w:p>
    <w:p w14:paraId="6E9ACF86" w14:textId="0CAFAC67" w:rsidR="00340776" w:rsidRPr="00D2550B" w:rsidRDefault="00D2550B" w:rsidP="00BA28A8">
      <w:pPr>
        <w:spacing w:after="120"/>
        <w:jc w:val="both"/>
        <w:rPr>
          <w:rFonts w:eastAsiaTheme="minorEastAsia"/>
          <w:sz w:val="20"/>
          <w:lang w:eastAsia="zh-CN"/>
        </w:rPr>
      </w:pPr>
      <w:r>
        <w:rPr>
          <w:b/>
          <w:sz w:val="20"/>
        </w:rPr>
        <w:lastRenderedPageBreak/>
        <w:t xml:space="preserve">Proposal 2: </w:t>
      </w:r>
      <w:r w:rsidRPr="00197BFE">
        <w:rPr>
          <w:b/>
          <w:sz w:val="20"/>
        </w:rPr>
        <w:t xml:space="preserve">RAN2 </w:t>
      </w:r>
      <w:r>
        <w:rPr>
          <w:b/>
          <w:sz w:val="20"/>
        </w:rPr>
        <w:t xml:space="preserve">should </w:t>
      </w:r>
      <w:r w:rsidRPr="00197BFE">
        <w:rPr>
          <w:b/>
          <w:sz w:val="20"/>
        </w:rPr>
        <w:t xml:space="preserve">define </w:t>
      </w:r>
      <w:r>
        <w:rPr>
          <w:b/>
          <w:sz w:val="20"/>
        </w:rPr>
        <w:t xml:space="preserve">a new option </w:t>
      </w:r>
      <w:r w:rsidRPr="00197BFE">
        <w:rPr>
          <w:b/>
          <w:sz w:val="20"/>
        </w:rPr>
        <w:t xml:space="preserve">for the IAB </w:t>
      </w:r>
      <w:r>
        <w:rPr>
          <w:b/>
          <w:sz w:val="20"/>
        </w:rPr>
        <w:t xml:space="preserve">backhaul </w:t>
      </w:r>
      <w:r w:rsidRPr="00197BFE">
        <w:rPr>
          <w:b/>
          <w:sz w:val="20"/>
        </w:rPr>
        <w:t>protocol stack which do</w:t>
      </w:r>
      <w:r>
        <w:rPr>
          <w:b/>
          <w:sz w:val="20"/>
        </w:rPr>
        <w:t>es</w:t>
      </w:r>
      <w:r w:rsidRPr="00197BFE">
        <w:rPr>
          <w:b/>
          <w:sz w:val="20"/>
        </w:rPr>
        <w:t xml:space="preserve"> not include </w:t>
      </w:r>
      <w:r>
        <w:rPr>
          <w:b/>
          <w:sz w:val="20"/>
        </w:rPr>
        <w:t>an</w:t>
      </w:r>
      <w:r w:rsidRPr="00197BFE">
        <w:rPr>
          <w:b/>
          <w:sz w:val="20"/>
        </w:rPr>
        <w:t xml:space="preserve"> IP layer</w:t>
      </w:r>
      <w:r>
        <w:rPr>
          <w:b/>
          <w:sz w:val="20"/>
        </w:rPr>
        <w:t xml:space="preserve">. </w:t>
      </w:r>
      <w:r w:rsidRPr="0048196E">
        <w:rPr>
          <w:b/>
          <w:sz w:val="20"/>
        </w:rPr>
        <w:t>The protocol stack options studied in the IAB SI phase can serve as a starting point for this work</w:t>
      </w:r>
      <w:r>
        <w:rPr>
          <w:b/>
          <w:sz w:val="20"/>
        </w:rPr>
        <w:t>.</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56CA102E" w14:textId="4AABD8A0" w:rsidR="008103AE" w:rsidRDefault="006976C1" w:rsidP="008103AE">
      <w:pPr>
        <w:jc w:val="both"/>
      </w:pPr>
      <w:r>
        <w:t>[1] RP-20</w:t>
      </w:r>
      <w:r w:rsidR="003D3162">
        <w:t>1293</w:t>
      </w:r>
      <w:r>
        <w:t xml:space="preserve"> </w:t>
      </w:r>
      <w:r w:rsidR="003D3162" w:rsidRPr="003D3162">
        <w:t>New WID on Enhancements to Integrated Access and Backhaul</w:t>
      </w:r>
      <w:r>
        <w:t xml:space="preserve">, </w:t>
      </w:r>
      <w:r w:rsidR="003D3162">
        <w:t>Qualcomm</w:t>
      </w:r>
      <w:r>
        <w:t>, 3GPP RAN #88e</w:t>
      </w:r>
    </w:p>
    <w:p w14:paraId="7CC3BACC" w14:textId="2BBF7ACA" w:rsidR="00740D66" w:rsidRPr="004279E6" w:rsidRDefault="004279E6" w:rsidP="004279E6">
      <w:pPr>
        <w:jc w:val="both"/>
      </w:pPr>
      <w:r>
        <w:t xml:space="preserve">[2] </w:t>
      </w:r>
      <w:r w:rsidRPr="004279E6">
        <w:t>TR 38.874</w:t>
      </w:r>
      <w:r>
        <w:t>, NR Study on Integrated Access and Backhaul</w:t>
      </w:r>
      <w:r w:rsidR="00BF1310">
        <w:t>,</w:t>
      </w:r>
      <w:r>
        <w:t xml:space="preserve"> V1</w:t>
      </w:r>
      <w:r w:rsidRPr="00E23CFA">
        <w:t>6.0.0</w:t>
      </w:r>
    </w:p>
    <w:sectPr w:rsidR="00740D66" w:rsidRPr="004279E6"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6A83A" w14:textId="77777777" w:rsidR="005115C2" w:rsidRDefault="005115C2">
      <w:r>
        <w:separator/>
      </w:r>
    </w:p>
  </w:endnote>
  <w:endnote w:type="continuationSeparator" w:id="0">
    <w:p w14:paraId="1C7395A3" w14:textId="77777777" w:rsidR="005115C2" w:rsidRDefault="0051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2D62" w14:textId="77777777" w:rsidR="00652142" w:rsidRDefault="00652142">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AE2A1" w14:textId="77777777" w:rsidR="005115C2" w:rsidRDefault="005115C2">
      <w:r>
        <w:separator/>
      </w:r>
    </w:p>
  </w:footnote>
  <w:footnote w:type="continuationSeparator" w:id="0">
    <w:p w14:paraId="39BAD4B5" w14:textId="77777777" w:rsidR="005115C2" w:rsidRDefault="00511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17"/>
  </w:num>
  <w:num w:numId="4">
    <w:abstractNumId w:val="2"/>
  </w:num>
  <w:num w:numId="5">
    <w:abstractNumId w:val="1"/>
  </w:num>
  <w:num w:numId="6">
    <w:abstractNumId w:val="0"/>
  </w:num>
  <w:num w:numId="7">
    <w:abstractNumId w:val="8"/>
  </w:num>
  <w:num w:numId="8">
    <w:abstractNumId w:val="18"/>
  </w:num>
  <w:num w:numId="9">
    <w:abstractNumId w:val="15"/>
  </w:num>
  <w:num w:numId="10">
    <w:abstractNumId w:val="5"/>
  </w:num>
  <w:num w:numId="11">
    <w:abstractNumId w:val="4"/>
  </w:num>
  <w:num w:numId="12">
    <w:abstractNumId w:val="14"/>
  </w:num>
  <w:num w:numId="13">
    <w:abstractNumId w:val="9"/>
  </w:num>
  <w:num w:numId="14">
    <w:abstractNumId w:val="3"/>
  </w:num>
  <w:num w:numId="15">
    <w:abstractNumId w:val="16"/>
  </w:num>
  <w:num w:numId="16">
    <w:abstractNumId w:val="12"/>
  </w:num>
  <w:num w:numId="17">
    <w:abstractNumId w:val="7"/>
  </w:num>
  <w:num w:numId="18">
    <w:abstractNumId w:val="16"/>
  </w:num>
  <w:num w:numId="19">
    <w:abstractNumId w:val="11"/>
  </w:num>
  <w:num w:numId="20">
    <w:abstractNumId w:val="6"/>
  </w:num>
  <w:num w:numId="21">
    <w:abstractNumId w:val="6"/>
  </w:num>
  <w:num w:numId="22">
    <w:abstractNumId w:val="6"/>
  </w:num>
  <w:num w:numId="23">
    <w:abstractNumId w:val="6"/>
  </w:num>
  <w:num w:numId="24">
    <w:abstractNumId w:val="6"/>
  </w:num>
  <w:num w:numId="25">
    <w:abstractNumId w:val="13"/>
  </w:num>
  <w:num w:numId="2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1FA5"/>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A75"/>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8A3"/>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97BFE"/>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7BB"/>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24"/>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7B3"/>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72B"/>
    <w:rsid w:val="0047195C"/>
    <w:rsid w:val="0047197D"/>
    <w:rsid w:val="00471C96"/>
    <w:rsid w:val="00472352"/>
    <w:rsid w:val="00472584"/>
    <w:rsid w:val="004726BB"/>
    <w:rsid w:val="00472747"/>
    <w:rsid w:val="00472B30"/>
    <w:rsid w:val="00472D1C"/>
    <w:rsid w:val="00473C32"/>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96E"/>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A85"/>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5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5C2"/>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1E"/>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00A"/>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300"/>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0B"/>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1AA"/>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17E8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5CD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50C"/>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6B6"/>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92E"/>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3"/>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50B"/>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EE3"/>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B82"/>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0686"/>
    <w:rsid w:val="00E610A6"/>
    <w:rsid w:val="00E611BE"/>
    <w:rsid w:val="00E61597"/>
    <w:rsid w:val="00E61DC9"/>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3F13"/>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rsid w:val="006E06DB"/>
    <w:pPr>
      <w:numPr>
        <w:numId w:val="15"/>
      </w:numPr>
      <w:spacing w:before="60" w:after="0"/>
    </w:pPr>
    <w:rPr>
      <w:rFonts w:ascii="Arial" w:hAnsi="Arial"/>
      <w:b/>
      <w:sz w:val="20"/>
      <w:szCs w:val="24"/>
      <w:lang w:eastAsia="en-GB"/>
    </w:rPr>
  </w:style>
  <w:style w:type="character" w:customStyle="1" w:styleId="TFChar">
    <w:name w:val="TF Char"/>
    <w:link w:val="TF"/>
    <w:rsid w:val="00BF1310"/>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105</TotalTime>
  <Pages>3</Pages>
  <Words>1131</Words>
  <Characters>6451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Futurewei</cp:lastModifiedBy>
  <cp:revision>20</cp:revision>
  <cp:lastPrinted>2019-10-03T15:30:00Z</cp:lastPrinted>
  <dcterms:created xsi:type="dcterms:W3CDTF">2020-08-07T01:57:00Z</dcterms:created>
  <dcterms:modified xsi:type="dcterms:W3CDTF">2020-08-07T04:05:00Z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